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22772" w:rsidRDefault="00000000">
      <w:pPr>
        <w:spacing w:after="40"/>
        <w:jc w:val="center"/>
      </w:pPr>
      <w:r>
        <w:t xml:space="preserve">SCHEDA DI PRESENTAZIONE DEGLI ALUNNI DELLE CLASSI QUINTE SCUOLA </w:t>
      </w:r>
      <w:proofErr w:type="gramStart"/>
      <w:r>
        <w:t>PRIMARIA,  I.C.</w:t>
      </w:r>
      <w:proofErr w:type="gramEnd"/>
      <w:r>
        <w:t xml:space="preserve"> “MARINO CENTRO”</w:t>
      </w:r>
    </w:p>
    <w:p w14:paraId="00000002" w14:textId="77777777" w:rsidR="00322772" w:rsidRDefault="00000000">
      <w:p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Alunno/a </w:t>
      </w: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:</w:t>
      </w:r>
      <w:proofErr w:type="gramEnd"/>
    </w:p>
    <w:p w14:paraId="00000003" w14:textId="77777777" w:rsidR="00322772" w:rsidRDefault="00000000">
      <w:pPr>
        <w:spacing w:after="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Plesso  :</w:t>
      </w:r>
      <w:proofErr w:type="gramEnd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       </w:t>
      </w:r>
    </w:p>
    <w:p w14:paraId="00000004" w14:textId="77777777" w:rsidR="00322772" w:rsidRDefault="00000000">
      <w:pPr>
        <w:spacing w:after="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Classe  :</w:t>
      </w:r>
      <w:proofErr w:type="gramEnd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</w:t>
      </w:r>
    </w:p>
    <w:p w14:paraId="00000005" w14:textId="77777777" w:rsidR="00322772" w:rsidRDefault="00000000">
      <w:pPr>
        <w:spacing w:after="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Docenti :</w:t>
      </w:r>
      <w:proofErr w:type="gramEnd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  </w:t>
      </w:r>
    </w:p>
    <w:p w14:paraId="00000006" w14:textId="77777777" w:rsidR="00322772" w:rsidRDefault="00000000">
      <w:pPr>
        <w:spacing w:after="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              </w:t>
      </w:r>
    </w:p>
    <w:p w14:paraId="00000007" w14:textId="77777777" w:rsidR="00322772" w:rsidRDefault="00000000">
      <w:pPr>
        <w:spacing w:after="18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  <w:u w:val="single"/>
        </w:rPr>
        <w:t>Frequenza scolastica</w:t>
      </w: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ab/>
      </w:r>
    </w:p>
    <w:p w14:paraId="00000008" w14:textId="77777777" w:rsidR="00322772" w:rsidRDefault="00000000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Regolare                                                               </w:t>
      </w: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ab/>
      </w:r>
    </w:p>
    <w:p w14:paraId="00000009" w14:textId="77777777" w:rsidR="0032277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Saltuaria</w:t>
      </w:r>
    </w:p>
    <w:p w14:paraId="0000000A" w14:textId="77777777" w:rsidR="00322772" w:rsidRDefault="00000000">
      <w:pPr>
        <w:numPr>
          <w:ilvl w:val="0"/>
          <w:numId w:val="2"/>
        </w:numPr>
        <w:spacing w:after="42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Altro (specificare):</w:t>
      </w:r>
    </w:p>
    <w:p w14:paraId="0000000B" w14:textId="77777777" w:rsidR="00322772" w:rsidRDefault="00000000">
      <w:pPr>
        <w:spacing w:after="180"/>
        <w:rPr>
          <w:rFonts w:ascii="Times New Roman" w:eastAsia="Times New Roman" w:hAnsi="Times New Roman" w:cs="Times New Roman"/>
          <w:color w:val="101010"/>
          <w:sz w:val="15"/>
          <w:szCs w:val="15"/>
          <w:u w:val="single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  <w:u w:val="single"/>
        </w:rPr>
        <w:t>Rapporti con la famiglia</w:t>
      </w:r>
    </w:p>
    <w:p w14:paraId="0000000C" w14:textId="77777777" w:rsidR="00322772" w:rsidRDefault="00000000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Limitati       </w:t>
      </w: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ab/>
      </w:r>
    </w:p>
    <w:p w14:paraId="0000000D" w14:textId="77777777" w:rsidR="00322772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Collaborativi         </w:t>
      </w:r>
    </w:p>
    <w:p w14:paraId="0000000E" w14:textId="77777777" w:rsidR="00322772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Frequenti                                                      </w:t>
      </w:r>
    </w:p>
    <w:p w14:paraId="0000000F" w14:textId="77777777" w:rsidR="00322772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Non collaborativi   </w:t>
      </w:r>
    </w:p>
    <w:p w14:paraId="00000010" w14:textId="77777777" w:rsidR="00322772" w:rsidRDefault="00000000">
      <w:pPr>
        <w:numPr>
          <w:ilvl w:val="0"/>
          <w:numId w:val="3"/>
        </w:numPr>
        <w:spacing w:after="42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Altro (specificare):     </w:t>
      </w:r>
    </w:p>
    <w:p w14:paraId="00000011" w14:textId="77777777" w:rsidR="00322772" w:rsidRDefault="00000000">
      <w:pPr>
        <w:spacing w:after="18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15"/>
          <w:szCs w:val="15"/>
          <w:u w:val="single"/>
        </w:rPr>
        <w:t xml:space="preserve"> Giudizio sintetico complessivo degli apprendimenti per fasce di livello</w:t>
      </w: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* </w:t>
      </w: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ab/>
        <w:t xml:space="preserve">     </w:t>
      </w:r>
    </w:p>
    <w:p w14:paraId="00000012" w14:textId="77777777" w:rsidR="00322772" w:rsidRDefault="00000000">
      <w:pPr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A </w:t>
      </w:r>
    </w:p>
    <w:p w14:paraId="00000013" w14:textId="77777777" w:rsidR="00322772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B  </w:t>
      </w:r>
    </w:p>
    <w:p w14:paraId="00000014" w14:textId="77777777" w:rsidR="00322772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C </w:t>
      </w:r>
    </w:p>
    <w:p w14:paraId="00000015" w14:textId="77777777" w:rsidR="00322772" w:rsidRDefault="00000000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D  </w:t>
      </w:r>
    </w:p>
    <w:p w14:paraId="00000016" w14:textId="77777777" w:rsidR="00322772" w:rsidRDefault="00000000">
      <w:p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 </w:t>
      </w:r>
    </w:p>
    <w:p w14:paraId="00000017" w14:textId="77777777" w:rsidR="00322772" w:rsidRDefault="00000000">
      <w:p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</w:t>
      </w:r>
      <w:r>
        <w:rPr>
          <w:rFonts w:ascii="Times New Roman" w:eastAsia="Times New Roman" w:hAnsi="Times New Roman" w:cs="Times New Roman"/>
          <w:color w:val="101010"/>
          <w:sz w:val="15"/>
          <w:szCs w:val="15"/>
          <w:u w:val="single"/>
        </w:rPr>
        <w:t>Giudizio comportamento per fasce di livello</w:t>
      </w: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*  </w:t>
      </w:r>
    </w:p>
    <w:p w14:paraId="00000018" w14:textId="77777777" w:rsidR="00322772" w:rsidRDefault="00000000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A</w:t>
      </w:r>
    </w:p>
    <w:p w14:paraId="00000019" w14:textId="77777777" w:rsidR="00322772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B</w:t>
      </w:r>
    </w:p>
    <w:p w14:paraId="0000001A" w14:textId="77777777" w:rsidR="00322772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C</w:t>
      </w:r>
    </w:p>
    <w:p w14:paraId="0000001B" w14:textId="77777777" w:rsidR="00322772" w:rsidRDefault="00000000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   D</w:t>
      </w:r>
    </w:p>
    <w:p w14:paraId="0000001C" w14:textId="77777777" w:rsidR="00322772" w:rsidRDefault="00000000">
      <w:p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Annotazioni :</w:t>
      </w:r>
      <w:proofErr w:type="gramEnd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</w:t>
      </w:r>
    </w:p>
    <w:p w14:paraId="0000001D" w14:textId="77777777" w:rsidR="00322772" w:rsidRDefault="0000000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Punti di forza:</w:t>
      </w:r>
    </w:p>
    <w:p w14:paraId="0000001E" w14:textId="77777777" w:rsidR="00322772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Punti di debolezza (difficoltà):</w:t>
      </w:r>
    </w:p>
    <w:p w14:paraId="0000001F" w14:textId="77777777" w:rsidR="00322772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Eventuali alunni con cui favorire l’inserimento:</w:t>
      </w:r>
    </w:p>
    <w:p w14:paraId="00000020" w14:textId="77777777" w:rsidR="00322772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Eventuali alunni con cui evitare l’inserimento:</w:t>
      </w:r>
    </w:p>
    <w:p w14:paraId="00000021" w14:textId="77777777" w:rsidR="00322772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Indicare se si sono verificati episodi di bullismo legati all’alunno in questione </w:t>
      </w: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( Sì</w:t>
      </w:r>
      <w:proofErr w:type="gramEnd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o No) : </w:t>
      </w:r>
    </w:p>
    <w:p w14:paraId="00000022" w14:textId="77777777" w:rsidR="00322772" w:rsidRDefault="00322772">
      <w:pPr>
        <w:spacing w:before="240" w:after="240"/>
        <w:ind w:left="720"/>
        <w:rPr>
          <w:rFonts w:ascii="Times New Roman" w:eastAsia="Times New Roman" w:hAnsi="Times New Roman" w:cs="Times New Roman"/>
          <w:color w:val="101010"/>
          <w:sz w:val="15"/>
          <w:szCs w:val="15"/>
        </w:rPr>
      </w:pPr>
    </w:p>
    <w:p w14:paraId="00000023" w14:textId="77777777" w:rsidR="00322772" w:rsidRDefault="00000000">
      <w:p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*Legenda fasce di livello</w:t>
      </w:r>
    </w:p>
    <w:p w14:paraId="00000024" w14:textId="77777777" w:rsidR="00322772" w:rsidRDefault="00000000">
      <w:p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A: valutazione 9-10              </w:t>
      </w: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B :</w:t>
      </w:r>
      <w:proofErr w:type="gramEnd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valutazione 7-8             C : valutazione 6                 D: valutazione inferiore al 6</w:t>
      </w:r>
    </w:p>
    <w:p w14:paraId="00000025" w14:textId="77777777" w:rsidR="00322772" w:rsidRDefault="00000000">
      <w:pPr>
        <w:rPr>
          <w:rFonts w:ascii="Times New Roman" w:eastAsia="Times New Roman" w:hAnsi="Times New Roman" w:cs="Times New Roman"/>
          <w:color w:val="101010"/>
          <w:sz w:val="15"/>
          <w:szCs w:val="15"/>
        </w:rPr>
      </w:pPr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La presente scheda, volutamente sintetica, sarà </w:t>
      </w: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discussa  durante</w:t>
      </w:r>
      <w:proofErr w:type="gramEnd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 xml:space="preserve"> gli incontri di presentazione degli alunni delle classi quinte, che avverranno tra i docenti della scuola primaria e della scuola secondaria nel mese di giugno. Anche le annotazioni verranno compilate in </w:t>
      </w:r>
      <w:proofErr w:type="gramStart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maniera  sintetica</w:t>
      </w:r>
      <w:proofErr w:type="gramEnd"/>
      <w:r>
        <w:rPr>
          <w:rFonts w:ascii="Times New Roman" w:eastAsia="Times New Roman" w:hAnsi="Times New Roman" w:cs="Times New Roman"/>
          <w:color w:val="101010"/>
          <w:sz w:val="15"/>
          <w:szCs w:val="15"/>
        </w:rPr>
        <w:t>,  per poi essere approfondite in sede di colloquio.</w:t>
      </w:r>
    </w:p>
    <w:p w14:paraId="00000026" w14:textId="77777777" w:rsidR="00322772" w:rsidRDefault="00322772"/>
    <w:sectPr w:rsidR="003227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1631"/>
    <w:multiLevelType w:val="multilevel"/>
    <w:tmpl w:val="39562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D4330"/>
    <w:multiLevelType w:val="multilevel"/>
    <w:tmpl w:val="8BF4900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6E0696"/>
    <w:multiLevelType w:val="multilevel"/>
    <w:tmpl w:val="A50C4E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C91D4B"/>
    <w:multiLevelType w:val="multilevel"/>
    <w:tmpl w:val="078E3E9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402CB3"/>
    <w:multiLevelType w:val="multilevel"/>
    <w:tmpl w:val="05C836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634530888">
    <w:abstractNumId w:val="0"/>
  </w:num>
  <w:num w:numId="2" w16cid:durableId="233243761">
    <w:abstractNumId w:val="2"/>
  </w:num>
  <w:num w:numId="3" w16cid:durableId="968709544">
    <w:abstractNumId w:val="3"/>
  </w:num>
  <w:num w:numId="4" w16cid:durableId="1167288607">
    <w:abstractNumId w:val="4"/>
  </w:num>
  <w:num w:numId="5" w16cid:durableId="146789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72"/>
    <w:rsid w:val="000B4E56"/>
    <w:rsid w:val="00322772"/>
    <w:rsid w:val="009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254D-CD93-462B-BF17-88B208B3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Congedo</dc:creator>
  <cp:lastModifiedBy>Luca Congedo</cp:lastModifiedBy>
  <cp:revision>2</cp:revision>
  <dcterms:created xsi:type="dcterms:W3CDTF">2024-05-28T20:45:00Z</dcterms:created>
  <dcterms:modified xsi:type="dcterms:W3CDTF">2024-05-28T20:45:00Z</dcterms:modified>
</cp:coreProperties>
</file>